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60F" w:rsidRDefault="00A4660F" w:rsidP="00A4660F">
      <w:pPr>
        <w:jc w:val="center"/>
        <w:rPr>
          <w:rFonts w:ascii="Arial Narrow" w:hAnsi="Arial Narrow"/>
          <w:b/>
          <w:sz w:val="36"/>
        </w:rPr>
      </w:pPr>
      <w:r w:rsidRPr="00A4660F">
        <w:rPr>
          <w:rFonts w:ascii="Arial Narrow" w:hAnsi="Arial Narrow"/>
          <w:b/>
          <w:sz w:val="36"/>
        </w:rPr>
        <w:t>Friendship Academy of Science and Technology</w:t>
      </w:r>
      <w:r w:rsidR="00005A6B">
        <w:rPr>
          <w:rFonts w:ascii="Arial Narrow" w:hAnsi="Arial Narrow"/>
          <w:b/>
          <w:sz w:val="36"/>
        </w:rPr>
        <w:t xml:space="preserve"> (#338)</w:t>
      </w:r>
    </w:p>
    <w:p w:rsidR="00005A6B" w:rsidRDefault="00005A6B" w:rsidP="00005A6B">
      <w:pPr>
        <w:rPr>
          <w:rFonts w:ascii="Arial Narrow" w:hAnsi="Arial Narrow"/>
          <w:b/>
          <w:sz w:val="36"/>
        </w:rPr>
      </w:pPr>
    </w:p>
    <w:p w:rsidR="00005A6B" w:rsidRPr="007677AF" w:rsidRDefault="00005A6B" w:rsidP="00005A6B">
      <w:pPr>
        <w:rPr>
          <w:rFonts w:ascii="Arial Narrow" w:hAnsi="Arial Narrow"/>
        </w:rPr>
      </w:pPr>
      <w:r w:rsidRPr="007677AF">
        <w:rPr>
          <w:rFonts w:ascii="Arial Narrow" w:hAnsi="Arial Narrow"/>
          <w:b/>
        </w:rPr>
        <w:t xml:space="preserve">Teacher: </w:t>
      </w:r>
      <w:r w:rsidRPr="007677AF">
        <w:rPr>
          <w:rFonts w:ascii="Arial Narrow" w:hAnsi="Arial Narrow"/>
        </w:rPr>
        <w:t xml:space="preserve">Ms. </w:t>
      </w:r>
      <w:proofErr w:type="spellStart"/>
      <w:r w:rsidRPr="007677AF">
        <w:rPr>
          <w:rFonts w:ascii="Arial Narrow" w:hAnsi="Arial Narrow"/>
        </w:rPr>
        <w:t>Zeins</w:t>
      </w:r>
      <w:proofErr w:type="spellEnd"/>
    </w:p>
    <w:p w:rsidR="00005A6B" w:rsidRPr="007677AF" w:rsidRDefault="00005A6B" w:rsidP="00005A6B">
      <w:pPr>
        <w:rPr>
          <w:rFonts w:ascii="Arial Narrow" w:hAnsi="Arial Narrow"/>
        </w:rPr>
      </w:pPr>
      <w:r w:rsidRPr="007677AF">
        <w:rPr>
          <w:rFonts w:ascii="Arial Narrow" w:hAnsi="Arial Narrow"/>
          <w:b/>
        </w:rPr>
        <w:t>Subject:</w:t>
      </w:r>
      <w:r w:rsidR="007677AF" w:rsidRPr="007677AF">
        <w:rPr>
          <w:rFonts w:ascii="Arial Narrow" w:hAnsi="Arial Narrow"/>
          <w:b/>
        </w:rPr>
        <w:t xml:space="preserve"> </w:t>
      </w:r>
      <w:r w:rsidR="007677AF" w:rsidRPr="007677AF">
        <w:rPr>
          <w:rFonts w:ascii="Arial Narrow" w:hAnsi="Arial Narrow"/>
        </w:rPr>
        <w:t>American Government</w:t>
      </w:r>
      <w:r w:rsidR="007677AF" w:rsidRPr="007677AF">
        <w:rPr>
          <w:rFonts w:ascii="Arial Narrow" w:hAnsi="Arial Narrow"/>
        </w:rPr>
        <w:tab/>
      </w:r>
    </w:p>
    <w:p w:rsidR="00005A6B" w:rsidRPr="007677AF" w:rsidRDefault="00005A6B" w:rsidP="00005A6B">
      <w:pPr>
        <w:rPr>
          <w:rFonts w:ascii="Arial Narrow" w:hAnsi="Arial Narrow"/>
        </w:rPr>
      </w:pPr>
      <w:r w:rsidRPr="007677AF">
        <w:rPr>
          <w:rFonts w:ascii="Arial Narrow" w:hAnsi="Arial Narrow"/>
          <w:b/>
        </w:rPr>
        <w:t xml:space="preserve">Date: </w:t>
      </w:r>
      <w:r w:rsidR="007677AF" w:rsidRPr="007677AF">
        <w:rPr>
          <w:rFonts w:ascii="Arial Narrow" w:hAnsi="Arial Narrow"/>
          <w:b/>
        </w:rPr>
        <w:t xml:space="preserve"> </w:t>
      </w:r>
      <w:r w:rsidR="007677AF" w:rsidRPr="007677AF">
        <w:rPr>
          <w:rFonts w:ascii="Arial Narrow" w:hAnsi="Arial Narrow"/>
        </w:rPr>
        <w:t>11/18 – 11/21</w:t>
      </w:r>
    </w:p>
    <w:p w:rsidR="00005A6B" w:rsidRPr="007677AF" w:rsidRDefault="00005A6B" w:rsidP="00005A6B">
      <w:pPr>
        <w:rPr>
          <w:rFonts w:ascii="Arial Narrow" w:hAnsi="Arial Narrow"/>
        </w:rPr>
      </w:pPr>
      <w:r w:rsidRPr="007677AF">
        <w:rPr>
          <w:rFonts w:ascii="Arial Narrow" w:hAnsi="Arial Narrow"/>
          <w:b/>
        </w:rPr>
        <w:t>Objective:</w:t>
      </w:r>
      <w:r w:rsidR="007677AF" w:rsidRPr="007677AF">
        <w:rPr>
          <w:rFonts w:ascii="Arial Narrow" w:hAnsi="Arial Narrow"/>
          <w:b/>
        </w:rPr>
        <w:t xml:space="preserve"> </w:t>
      </w:r>
      <w:r w:rsidR="007677AF" w:rsidRPr="007677AF">
        <w:rPr>
          <w:rFonts w:ascii="Arial Narrow" w:hAnsi="Arial Narrow"/>
        </w:rPr>
        <w:t xml:space="preserve">PSWBAT analyze how the Supreme Court Cases </w:t>
      </w:r>
      <w:r w:rsidR="007677AF" w:rsidRPr="007677AF">
        <w:rPr>
          <w:rFonts w:ascii="Arial Narrow" w:hAnsi="Arial Narrow"/>
          <w:i/>
        </w:rPr>
        <w:t xml:space="preserve">Gideon v. Wainwright </w:t>
      </w:r>
      <w:r w:rsidR="007677AF" w:rsidRPr="007677AF">
        <w:rPr>
          <w:rFonts w:ascii="Arial Narrow" w:hAnsi="Arial Narrow"/>
        </w:rPr>
        <w:t>impacted the rights of the accused.</w:t>
      </w:r>
    </w:p>
    <w:p w:rsidR="00005A6B" w:rsidRPr="007677AF" w:rsidRDefault="00005A6B" w:rsidP="00005A6B">
      <w:pPr>
        <w:rPr>
          <w:rFonts w:ascii="Arial Narrow" w:hAnsi="Arial Narrow"/>
          <w:b/>
        </w:rPr>
      </w:pPr>
      <w:r w:rsidRPr="007677AF">
        <w:rPr>
          <w:rFonts w:ascii="Arial Narrow" w:hAnsi="Arial Narrow"/>
          <w:b/>
        </w:rPr>
        <w:t>Learning Goal:</w:t>
      </w:r>
      <w:r w:rsidR="007677AF" w:rsidRPr="007677AF">
        <w:rPr>
          <w:rFonts w:ascii="Arial Narrow" w:hAnsi="Arial Narrow"/>
          <w:b/>
        </w:rPr>
        <w:t xml:space="preserve"> 1.2.1 </w:t>
      </w:r>
      <w:r w:rsidR="007677AF" w:rsidRPr="007677AF">
        <w:rPr>
          <w:rFonts w:ascii="Arial Narrow" w:hAnsi="Arial Narrow"/>
        </w:rPr>
        <w:t xml:space="preserve">The student will analyze the impact of landmark </w:t>
      </w:r>
      <w:r w:rsidR="007677AF" w:rsidRPr="007677AF">
        <w:rPr>
          <w:rFonts w:ascii="Arial Narrow" w:hAnsi="Arial Narrow"/>
          <w:b/>
        </w:rPr>
        <w:t>Supreme Court</w:t>
      </w:r>
      <w:r w:rsidR="007677AF" w:rsidRPr="007677AF">
        <w:rPr>
          <w:rFonts w:ascii="Arial Narrow" w:hAnsi="Arial Narrow"/>
        </w:rPr>
        <w:t xml:space="preserve"> decisions on governmental powers, rights, and responsibilities of </w:t>
      </w:r>
      <w:r w:rsidR="007677AF" w:rsidRPr="007677AF">
        <w:rPr>
          <w:rFonts w:ascii="Arial Narrow" w:hAnsi="Arial Narrow"/>
          <w:b/>
        </w:rPr>
        <w:t>citizen</w:t>
      </w:r>
      <w:r w:rsidR="007677AF" w:rsidRPr="007677AF">
        <w:rPr>
          <w:rFonts w:ascii="Arial Narrow" w:hAnsi="Arial Narrow"/>
        </w:rPr>
        <w:t>s in our changing society</w:t>
      </w:r>
    </w:p>
    <w:p w:rsidR="00A4660F" w:rsidRPr="00005A6B" w:rsidRDefault="00A4660F" w:rsidP="00005A6B">
      <w:pPr>
        <w:rPr>
          <w:rFonts w:ascii="Arial Narrow" w:hAnsi="Arial Narrow"/>
        </w:rPr>
      </w:pPr>
    </w:p>
    <w:tbl>
      <w:tblPr>
        <w:tblStyle w:val="TableGrid"/>
        <w:tblW w:w="0" w:type="auto"/>
        <w:tblLook w:val="00BF"/>
      </w:tblPr>
      <w:tblGrid>
        <w:gridCol w:w="5508"/>
        <w:gridCol w:w="5508"/>
      </w:tblGrid>
      <w:tr w:rsidR="00A4660F" w:rsidRPr="00A4660F">
        <w:tc>
          <w:tcPr>
            <w:tcW w:w="5508" w:type="dxa"/>
            <w:shd w:val="pct15" w:color="auto" w:fill="auto"/>
          </w:tcPr>
          <w:p w:rsidR="00A4660F" w:rsidRPr="00A4660F" w:rsidRDefault="00A4660F">
            <w:pPr>
              <w:rPr>
                <w:rFonts w:ascii="Arial Narrow" w:hAnsi="Arial Narrow"/>
                <w:b/>
              </w:rPr>
            </w:pPr>
            <w:r w:rsidRPr="00A4660F">
              <w:rPr>
                <w:rFonts w:ascii="Arial Narrow" w:hAnsi="Arial Narrow"/>
                <w:b/>
              </w:rPr>
              <w:t>Type of Lesson:</w:t>
            </w:r>
          </w:p>
        </w:tc>
        <w:tc>
          <w:tcPr>
            <w:tcW w:w="5508" w:type="dxa"/>
            <w:shd w:val="pct15" w:color="auto" w:fill="auto"/>
          </w:tcPr>
          <w:p w:rsidR="00A4660F" w:rsidRPr="00A4660F" w:rsidRDefault="00005A6B">
            <w:pPr>
              <w:rPr>
                <w:rFonts w:ascii="Arial Narrow" w:hAnsi="Arial Narrow"/>
                <w:b/>
              </w:rPr>
            </w:pPr>
            <w:r>
              <w:rPr>
                <w:rFonts w:ascii="Arial Narrow" w:hAnsi="Arial Narrow"/>
                <w:b/>
              </w:rPr>
              <w:t>Agenda:</w:t>
            </w:r>
          </w:p>
        </w:tc>
      </w:tr>
      <w:tr w:rsidR="00A4660F">
        <w:tc>
          <w:tcPr>
            <w:tcW w:w="5508" w:type="dxa"/>
          </w:tcPr>
          <w:p w:rsidR="00A4660F" w:rsidRPr="00A4660F" w:rsidRDefault="007677AF">
            <w:pPr>
              <w:rPr>
                <w:rFonts w:ascii="Arial Narrow" w:hAnsi="Arial Narrow"/>
              </w:rPr>
            </w:pPr>
            <w:r>
              <w:rPr>
                <w:rFonts w:ascii="Arial Narrow" w:hAnsi="Arial Narrow"/>
              </w:rPr>
              <w:t>Developing</w:t>
            </w:r>
          </w:p>
        </w:tc>
        <w:tc>
          <w:tcPr>
            <w:tcW w:w="5508" w:type="dxa"/>
          </w:tcPr>
          <w:p w:rsidR="007677AF" w:rsidRDefault="007677AF">
            <w:pPr>
              <w:rPr>
                <w:rFonts w:ascii="Arial Narrow" w:hAnsi="Arial Narrow"/>
              </w:rPr>
            </w:pPr>
            <w:r>
              <w:rPr>
                <w:rFonts w:ascii="Arial Narrow" w:hAnsi="Arial Narrow"/>
              </w:rPr>
              <w:t>Call to Order</w:t>
            </w:r>
          </w:p>
          <w:p w:rsidR="007677AF" w:rsidRDefault="007677AF">
            <w:pPr>
              <w:rPr>
                <w:rFonts w:ascii="Arial Narrow" w:hAnsi="Arial Narrow"/>
              </w:rPr>
            </w:pPr>
            <w:r>
              <w:rPr>
                <w:rFonts w:ascii="Arial Narrow" w:hAnsi="Arial Narrow"/>
              </w:rPr>
              <w:t>Notes</w:t>
            </w:r>
          </w:p>
          <w:p w:rsidR="007677AF" w:rsidRDefault="007677AF">
            <w:pPr>
              <w:rPr>
                <w:rFonts w:ascii="Arial Narrow" w:hAnsi="Arial Narrow"/>
              </w:rPr>
            </w:pPr>
            <w:r>
              <w:rPr>
                <w:rFonts w:ascii="Arial Narrow" w:hAnsi="Arial Narrow"/>
              </w:rPr>
              <w:t>Cartoon</w:t>
            </w:r>
          </w:p>
          <w:p w:rsidR="007677AF" w:rsidRDefault="007677AF">
            <w:pPr>
              <w:rPr>
                <w:rFonts w:ascii="Arial Narrow" w:hAnsi="Arial Narrow"/>
              </w:rPr>
            </w:pPr>
            <w:r>
              <w:rPr>
                <w:rFonts w:ascii="Arial Narrow" w:hAnsi="Arial Narrow"/>
              </w:rPr>
              <w:t>Clip #1</w:t>
            </w:r>
          </w:p>
          <w:p w:rsidR="007677AF" w:rsidRDefault="007677AF">
            <w:pPr>
              <w:rPr>
                <w:rFonts w:ascii="Arial Narrow" w:hAnsi="Arial Narrow"/>
              </w:rPr>
            </w:pPr>
            <w:r>
              <w:rPr>
                <w:rFonts w:ascii="Arial Narrow" w:hAnsi="Arial Narrow"/>
              </w:rPr>
              <w:t>Clip #2</w:t>
            </w:r>
          </w:p>
          <w:p w:rsidR="00A4660F" w:rsidRPr="00A4660F" w:rsidRDefault="007677AF">
            <w:pPr>
              <w:rPr>
                <w:rFonts w:ascii="Arial Narrow" w:hAnsi="Arial Narrow"/>
              </w:rPr>
            </w:pPr>
            <w:r>
              <w:rPr>
                <w:rFonts w:ascii="Arial Narrow" w:hAnsi="Arial Narrow"/>
              </w:rPr>
              <w:t>Exit Ticket</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Call to Order:</w:t>
            </w:r>
          </w:p>
        </w:tc>
      </w:tr>
      <w:tr w:rsidR="00A4660F">
        <w:tc>
          <w:tcPr>
            <w:tcW w:w="11016" w:type="dxa"/>
            <w:gridSpan w:val="2"/>
          </w:tcPr>
          <w:p w:rsidR="007677AF" w:rsidRDefault="007677AF">
            <w:pPr>
              <w:rPr>
                <w:rFonts w:ascii="Arial Narrow" w:hAnsi="Arial Narrow"/>
              </w:rPr>
            </w:pPr>
            <w:r>
              <w:rPr>
                <w:rFonts w:ascii="Arial Narrow" w:hAnsi="Arial Narrow"/>
              </w:rPr>
              <w:t>Students will take out their notebooks and begin their call to order, which will be posted on the board:</w:t>
            </w:r>
          </w:p>
          <w:p w:rsidR="00A4660F" w:rsidRPr="007677AF" w:rsidRDefault="007677AF">
            <w:pPr>
              <w:rPr>
                <w:rFonts w:ascii="Arial Narrow" w:hAnsi="Arial Narrow"/>
                <w:i/>
              </w:rPr>
            </w:pPr>
            <w:r>
              <w:rPr>
                <w:rFonts w:ascii="Arial Narrow" w:hAnsi="Arial Narrow"/>
                <w:i/>
              </w:rPr>
              <w:t xml:space="preserve">What is a lawyer?  When and why would a lawyer be helpful? </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Introduction of New Material:</w:t>
            </w:r>
          </w:p>
        </w:tc>
      </w:tr>
      <w:tr w:rsidR="00A4660F">
        <w:tc>
          <w:tcPr>
            <w:tcW w:w="11016" w:type="dxa"/>
            <w:gridSpan w:val="2"/>
          </w:tcPr>
          <w:p w:rsidR="007677AF" w:rsidRDefault="007677AF">
            <w:pPr>
              <w:rPr>
                <w:rFonts w:ascii="Arial Narrow" w:hAnsi="Arial Narrow"/>
              </w:rPr>
            </w:pPr>
            <w:r>
              <w:rPr>
                <w:rFonts w:ascii="Arial Narrow" w:hAnsi="Arial Narrow"/>
              </w:rPr>
              <w:t>Students will take notes on the Gideon v. Wainwright Case:</w:t>
            </w:r>
          </w:p>
          <w:p w:rsidR="007677AF" w:rsidRPr="007677AF" w:rsidRDefault="007677AF" w:rsidP="007677AF">
            <w:pPr>
              <w:pStyle w:val="ListParagraph"/>
              <w:numPr>
                <w:ilvl w:val="0"/>
                <w:numId w:val="2"/>
              </w:numPr>
              <w:rPr>
                <w:rFonts w:ascii="Arial Narrow" w:hAnsi="Arial Narrow"/>
              </w:rPr>
            </w:pPr>
            <w:r w:rsidRPr="007677AF">
              <w:rPr>
                <w:rFonts w:ascii="Arial Narrow" w:hAnsi="Arial Narrow"/>
              </w:rPr>
              <w:t xml:space="preserve">1961: Clarence Gideon is charged with breaking into </w:t>
            </w:r>
            <w:proofErr w:type="gramStart"/>
            <w:r w:rsidRPr="007677AF">
              <w:rPr>
                <w:rFonts w:ascii="Arial Narrow" w:hAnsi="Arial Narrow"/>
              </w:rPr>
              <w:t>a pool</w:t>
            </w:r>
            <w:proofErr w:type="gramEnd"/>
            <w:r w:rsidRPr="007677AF">
              <w:rPr>
                <w:rFonts w:ascii="Arial Narrow" w:hAnsi="Arial Narrow"/>
              </w:rPr>
              <w:t xml:space="preserve"> hall and stealing money once inside.</w:t>
            </w:r>
          </w:p>
          <w:p w:rsidR="007677AF" w:rsidRPr="007677AF" w:rsidRDefault="007677AF" w:rsidP="007677AF">
            <w:pPr>
              <w:pStyle w:val="ListParagraph"/>
              <w:numPr>
                <w:ilvl w:val="0"/>
                <w:numId w:val="2"/>
              </w:numPr>
              <w:rPr>
                <w:rFonts w:ascii="Arial Narrow" w:hAnsi="Arial Narrow"/>
              </w:rPr>
            </w:pPr>
            <w:r w:rsidRPr="007677AF">
              <w:rPr>
                <w:rFonts w:ascii="Arial Narrow" w:hAnsi="Arial Narrow"/>
              </w:rPr>
              <w:t>Gideon tells the judge he cannot afford an attorney.  The judge tells Gideon attorneys are only free in death penalty cases.</w:t>
            </w:r>
          </w:p>
          <w:p w:rsidR="007677AF" w:rsidRPr="007677AF" w:rsidRDefault="007677AF" w:rsidP="007677AF">
            <w:pPr>
              <w:pStyle w:val="ListParagraph"/>
              <w:numPr>
                <w:ilvl w:val="0"/>
                <w:numId w:val="2"/>
              </w:numPr>
              <w:rPr>
                <w:rFonts w:ascii="Arial Narrow" w:hAnsi="Arial Narrow"/>
              </w:rPr>
            </w:pPr>
            <w:r w:rsidRPr="007677AF">
              <w:rPr>
                <w:rFonts w:ascii="Arial Narrow" w:hAnsi="Arial Narrow"/>
              </w:rPr>
              <w:t>Gideon served as his own lawyer and lost.  He was sentenced to five years in prison.</w:t>
            </w:r>
          </w:p>
          <w:p w:rsidR="007677AF" w:rsidRDefault="007677AF" w:rsidP="007677AF">
            <w:pPr>
              <w:pStyle w:val="ListParagraph"/>
              <w:numPr>
                <w:ilvl w:val="0"/>
                <w:numId w:val="2"/>
              </w:numPr>
              <w:rPr>
                <w:rFonts w:ascii="Arial Narrow" w:hAnsi="Arial Narrow"/>
              </w:rPr>
            </w:pPr>
            <w:r w:rsidRPr="007677AF">
              <w:rPr>
                <w:rFonts w:ascii="Arial Narrow" w:hAnsi="Arial Narrow"/>
              </w:rPr>
              <w:t>While in prison, Gideon wrote an appeal to the Supreme Court.  Gideon argued that his Sixth Amendment right to legal counsel had been violated.</w:t>
            </w:r>
          </w:p>
          <w:p w:rsidR="007677AF" w:rsidRPr="007677AF" w:rsidRDefault="007677AF" w:rsidP="007677AF">
            <w:pPr>
              <w:pStyle w:val="ListParagraph"/>
              <w:numPr>
                <w:ilvl w:val="0"/>
                <w:numId w:val="2"/>
              </w:numPr>
              <w:rPr>
                <w:rFonts w:ascii="Arial Narrow" w:hAnsi="Arial Narrow"/>
              </w:rPr>
            </w:pPr>
            <w:r w:rsidRPr="007677AF">
              <w:rPr>
                <w:rFonts w:ascii="Arial Narrow" w:hAnsi="Arial Narrow"/>
              </w:rPr>
              <w:t>The Supreme Court ruled that defendants must have free legal counsel when charged with a serious crime.</w:t>
            </w:r>
          </w:p>
          <w:p w:rsidR="00A4660F" w:rsidRPr="00A4660F" w:rsidRDefault="00A4660F">
            <w:pPr>
              <w:rPr>
                <w:rFonts w:ascii="Arial Narrow" w:hAnsi="Arial Narrow"/>
              </w:rPr>
            </w:pP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Guided Practice:</w:t>
            </w:r>
          </w:p>
        </w:tc>
      </w:tr>
      <w:tr w:rsidR="00A4660F">
        <w:tc>
          <w:tcPr>
            <w:tcW w:w="11016" w:type="dxa"/>
            <w:gridSpan w:val="2"/>
          </w:tcPr>
          <w:p w:rsidR="007677AF" w:rsidRPr="007677AF" w:rsidRDefault="007677AF">
            <w:pPr>
              <w:rPr>
                <w:rFonts w:ascii="Arial Narrow" w:hAnsi="Arial Narrow"/>
              </w:rPr>
            </w:pPr>
            <w:r w:rsidRPr="007677AF">
              <w:rPr>
                <w:rFonts w:ascii="Arial Narrow" w:hAnsi="Arial Narrow"/>
              </w:rPr>
              <w:t xml:space="preserve">Students will complete the cartoon and questions to review the case.  Students will have 6 minutes to work with the person sitting next to them.  Teacher will circulate, clarifying misconceptions.  Teacher will </w:t>
            </w:r>
            <w:proofErr w:type="gramStart"/>
            <w:r w:rsidRPr="007677AF">
              <w:rPr>
                <w:rFonts w:ascii="Arial Narrow" w:hAnsi="Arial Narrow"/>
              </w:rPr>
              <w:t>cold call</w:t>
            </w:r>
            <w:proofErr w:type="gramEnd"/>
            <w:r w:rsidRPr="007677AF">
              <w:rPr>
                <w:rFonts w:ascii="Arial Narrow" w:hAnsi="Arial Narrow"/>
              </w:rPr>
              <w:t xml:space="preserve"> students to contribute their answers.</w:t>
            </w:r>
          </w:p>
          <w:p w:rsidR="007677AF" w:rsidRPr="007677AF" w:rsidRDefault="007677AF">
            <w:pPr>
              <w:rPr>
                <w:rFonts w:ascii="Arial Narrow" w:hAnsi="Arial Narrow"/>
              </w:rPr>
            </w:pPr>
          </w:p>
          <w:p w:rsidR="007677AF" w:rsidRPr="007677AF" w:rsidRDefault="007677AF">
            <w:pPr>
              <w:rPr>
                <w:rFonts w:ascii="Arial Narrow" w:hAnsi="Arial Narrow"/>
              </w:rPr>
            </w:pPr>
            <w:r w:rsidRPr="007677AF">
              <w:rPr>
                <w:rFonts w:ascii="Arial Narrow" w:hAnsi="Arial Narrow"/>
              </w:rPr>
              <w:t xml:space="preserve">Students will watch Clip #1: Gideon’s Trumpet </w:t>
            </w:r>
          </w:p>
          <w:p w:rsidR="007677AF" w:rsidRDefault="007677AF" w:rsidP="007677AF">
            <w:pPr>
              <w:tabs>
                <w:tab w:val="left" w:pos="1453"/>
              </w:tabs>
              <w:rPr>
                <w:rFonts w:ascii="Arial Narrow" w:hAnsi="Arial Narrow" w:cs="Arial"/>
                <w:szCs w:val="20"/>
              </w:rPr>
            </w:pPr>
            <w:r w:rsidRPr="007677AF">
              <w:rPr>
                <w:rFonts w:ascii="Arial Narrow" w:hAnsi="Arial Narrow" w:cs="Arial"/>
                <w:szCs w:val="20"/>
              </w:rPr>
              <w:t xml:space="preserve">Teacher will play two clips from </w:t>
            </w:r>
            <w:r w:rsidRPr="007677AF">
              <w:rPr>
                <w:rFonts w:ascii="Arial Narrow" w:hAnsi="Arial Narrow" w:cs="Arial"/>
                <w:i/>
                <w:szCs w:val="20"/>
              </w:rPr>
              <w:t>Gideon’s Trumpet</w:t>
            </w:r>
            <w:r w:rsidRPr="007677AF">
              <w:rPr>
                <w:rFonts w:ascii="Arial Narrow" w:hAnsi="Arial Narrow" w:cs="Arial"/>
                <w:szCs w:val="20"/>
              </w:rPr>
              <w:t>.  Students will answer guiding questions on a worksheet.  As a class, we will discuss the answers after each relevant clip.</w:t>
            </w:r>
          </w:p>
          <w:p w:rsidR="007677AF" w:rsidRPr="007677AF" w:rsidRDefault="007677AF" w:rsidP="007677AF">
            <w:pPr>
              <w:tabs>
                <w:tab w:val="left" w:pos="1453"/>
              </w:tabs>
              <w:rPr>
                <w:rFonts w:ascii="Arial Narrow" w:hAnsi="Arial Narrow" w:cs="Arial"/>
                <w:szCs w:val="20"/>
              </w:rPr>
            </w:pPr>
          </w:p>
          <w:p w:rsidR="007677AF" w:rsidRPr="007677AF" w:rsidRDefault="007677AF" w:rsidP="007677AF">
            <w:pPr>
              <w:tabs>
                <w:tab w:val="left" w:pos="1453"/>
              </w:tabs>
              <w:rPr>
                <w:rFonts w:ascii="Arial Narrow" w:hAnsi="Arial Narrow" w:cs="Arial"/>
                <w:b/>
                <w:szCs w:val="20"/>
              </w:rPr>
            </w:pPr>
            <w:r w:rsidRPr="007677AF">
              <w:rPr>
                <w:rFonts w:ascii="Arial Narrow" w:hAnsi="Arial Narrow" w:cs="Arial"/>
                <w:b/>
                <w:szCs w:val="20"/>
              </w:rPr>
              <w:t>Clip #1 minutes 6:35- 23:03 (first trial: without lawyer)</w:t>
            </w:r>
          </w:p>
          <w:p w:rsidR="007677AF" w:rsidRPr="007677AF" w:rsidRDefault="007677AF" w:rsidP="007677AF">
            <w:pPr>
              <w:rPr>
                <w:rFonts w:ascii="Arial Narrow" w:hAnsi="Arial Narrow" w:cs="Arial"/>
                <w:color w:val="000000"/>
                <w:szCs w:val="20"/>
              </w:rPr>
            </w:pPr>
            <w:r w:rsidRPr="007677AF">
              <w:rPr>
                <w:rFonts w:ascii="Arial Narrow" w:hAnsi="Arial Narrow" w:cs="Arial"/>
                <w:color w:val="000000"/>
                <w:szCs w:val="20"/>
              </w:rPr>
              <w:t>1. How well did Gideon defend himself?</w:t>
            </w:r>
          </w:p>
          <w:p w:rsidR="007677AF" w:rsidRPr="007677AF" w:rsidRDefault="007677AF" w:rsidP="007677AF">
            <w:pPr>
              <w:rPr>
                <w:rFonts w:ascii="Arial Narrow" w:hAnsi="Arial Narrow" w:cs="Arial"/>
                <w:color w:val="000000"/>
                <w:szCs w:val="20"/>
              </w:rPr>
            </w:pPr>
            <w:r w:rsidRPr="007677AF">
              <w:rPr>
                <w:rFonts w:ascii="Arial Narrow" w:hAnsi="Arial Narrow" w:cs="Arial"/>
                <w:color w:val="000000"/>
                <w:szCs w:val="20"/>
              </w:rPr>
              <w:t>2. What could a lawyer have done differently?  Would that have changed the outcome of the case?</w:t>
            </w:r>
          </w:p>
          <w:p w:rsidR="007677AF" w:rsidRDefault="007677AF" w:rsidP="007677AF">
            <w:pPr>
              <w:rPr>
                <w:rFonts w:ascii="Arial Narrow" w:hAnsi="Arial Narrow" w:cs="Arial"/>
                <w:color w:val="000000"/>
                <w:szCs w:val="20"/>
              </w:rPr>
            </w:pPr>
            <w:r w:rsidRPr="007677AF">
              <w:rPr>
                <w:rFonts w:ascii="Arial Narrow" w:hAnsi="Arial Narrow" w:cs="Arial"/>
                <w:color w:val="000000"/>
                <w:szCs w:val="20"/>
              </w:rPr>
              <w:t>3. Can the average person do an adequate job of defending him/herself at trial?  Why or why not?</w:t>
            </w:r>
          </w:p>
          <w:p w:rsidR="00A4660F" w:rsidRPr="007677AF" w:rsidRDefault="00A4660F" w:rsidP="007677AF">
            <w:pPr>
              <w:rPr>
                <w:rFonts w:ascii="Arial Narrow" w:hAnsi="Arial Narrow" w:cs="Arial"/>
                <w:color w:val="000000"/>
                <w:szCs w:val="20"/>
              </w:rPr>
            </w:pPr>
          </w:p>
        </w:tc>
      </w:tr>
      <w:tr w:rsidR="00A4660F" w:rsidRP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Independent Practice:</w:t>
            </w:r>
          </w:p>
        </w:tc>
      </w:tr>
      <w:tr w:rsidR="00A4660F">
        <w:tc>
          <w:tcPr>
            <w:tcW w:w="11016" w:type="dxa"/>
            <w:gridSpan w:val="2"/>
          </w:tcPr>
          <w:p w:rsidR="00A4660F" w:rsidRPr="00A4660F" w:rsidRDefault="007677AF">
            <w:pPr>
              <w:rPr>
                <w:rFonts w:ascii="Arial Narrow" w:hAnsi="Arial Narrow"/>
              </w:rPr>
            </w:pPr>
            <w:r>
              <w:rPr>
                <w:rFonts w:ascii="Arial Narrow" w:hAnsi="Arial Narrow"/>
              </w:rPr>
              <w:t xml:space="preserve">Students will take a </w:t>
            </w:r>
            <w:proofErr w:type="gramStart"/>
            <w:r>
              <w:rPr>
                <w:rFonts w:ascii="Arial Narrow" w:hAnsi="Arial Narrow"/>
              </w:rPr>
              <w:t>three question</w:t>
            </w:r>
            <w:proofErr w:type="gramEnd"/>
            <w:r>
              <w:rPr>
                <w:rFonts w:ascii="Arial Narrow" w:hAnsi="Arial Narrow"/>
              </w:rPr>
              <w:t xml:space="preserve"> exit ticket.</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Closing:</w:t>
            </w:r>
          </w:p>
        </w:tc>
      </w:tr>
      <w:tr w:rsidR="00A4660F">
        <w:tc>
          <w:tcPr>
            <w:tcW w:w="11016" w:type="dxa"/>
            <w:gridSpan w:val="2"/>
          </w:tcPr>
          <w:p w:rsidR="00A4660F" w:rsidRPr="00A4660F" w:rsidRDefault="007677AF">
            <w:pPr>
              <w:rPr>
                <w:rFonts w:ascii="Arial Narrow" w:hAnsi="Arial Narrow"/>
              </w:rPr>
            </w:pPr>
            <w:r>
              <w:rPr>
                <w:rFonts w:ascii="Arial Narrow" w:hAnsi="Arial Narrow"/>
              </w:rPr>
              <w:t>Students will put key points on the unit board.</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Homework:</w:t>
            </w:r>
          </w:p>
        </w:tc>
      </w:tr>
      <w:tr w:rsidR="00A4660F">
        <w:tc>
          <w:tcPr>
            <w:tcW w:w="11016" w:type="dxa"/>
            <w:gridSpan w:val="2"/>
          </w:tcPr>
          <w:p w:rsidR="00A4660F" w:rsidRPr="00A4660F" w:rsidRDefault="007677AF">
            <w:pPr>
              <w:rPr>
                <w:rFonts w:ascii="Arial Narrow" w:hAnsi="Arial Narrow"/>
              </w:rPr>
            </w:pPr>
            <w:r>
              <w:rPr>
                <w:rFonts w:ascii="Arial Narrow" w:hAnsi="Arial Narrow"/>
              </w:rPr>
              <w:t>Students will complete a letter from jail, in which they construct a three-paragraph essay to the Supreme Court describing a situation of arrest that would result in a case being thrown out.</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Accommodations:</w:t>
            </w:r>
          </w:p>
        </w:tc>
      </w:tr>
      <w:tr w:rsidR="00A4660F">
        <w:tc>
          <w:tcPr>
            <w:tcW w:w="11016" w:type="dxa"/>
            <w:gridSpan w:val="2"/>
          </w:tcPr>
          <w:p w:rsidR="00A4660F" w:rsidRDefault="00A4660F">
            <w:pPr>
              <w:rPr>
                <w:rFonts w:ascii="Arial Narrow" w:hAnsi="Arial Narrow"/>
              </w:rPr>
            </w:pPr>
          </w:p>
        </w:tc>
      </w:tr>
    </w:tbl>
    <w:p w:rsidR="007677AF" w:rsidRDefault="007677AF"/>
    <w:tbl>
      <w:tblPr>
        <w:tblStyle w:val="TableGrid"/>
        <w:tblW w:w="0" w:type="auto"/>
        <w:tblLook w:val="00BF"/>
      </w:tblPr>
      <w:tblGrid>
        <w:gridCol w:w="5508"/>
        <w:gridCol w:w="5508"/>
      </w:tblGrid>
      <w:tr w:rsidR="007677AF" w:rsidRPr="00A4660F">
        <w:tc>
          <w:tcPr>
            <w:tcW w:w="5508" w:type="dxa"/>
            <w:shd w:val="pct15" w:color="auto" w:fill="auto"/>
          </w:tcPr>
          <w:p w:rsidR="007677AF" w:rsidRPr="00A4660F" w:rsidRDefault="007677AF">
            <w:pPr>
              <w:rPr>
                <w:rFonts w:ascii="Arial Narrow" w:hAnsi="Arial Narrow"/>
                <w:b/>
              </w:rPr>
            </w:pPr>
            <w:r w:rsidRPr="00A4660F">
              <w:rPr>
                <w:rFonts w:ascii="Arial Narrow" w:hAnsi="Arial Narrow"/>
                <w:b/>
              </w:rPr>
              <w:t>Type of Lesson:</w:t>
            </w:r>
          </w:p>
        </w:tc>
        <w:tc>
          <w:tcPr>
            <w:tcW w:w="5508" w:type="dxa"/>
            <w:shd w:val="pct15" w:color="auto" w:fill="auto"/>
          </w:tcPr>
          <w:p w:rsidR="007677AF" w:rsidRPr="00A4660F" w:rsidRDefault="007677AF">
            <w:pPr>
              <w:rPr>
                <w:rFonts w:ascii="Arial Narrow" w:hAnsi="Arial Narrow"/>
                <w:b/>
              </w:rPr>
            </w:pPr>
            <w:r>
              <w:rPr>
                <w:rFonts w:ascii="Arial Narrow" w:hAnsi="Arial Narrow"/>
                <w:b/>
              </w:rPr>
              <w:t>Agenda:</w:t>
            </w:r>
          </w:p>
        </w:tc>
      </w:tr>
      <w:tr w:rsidR="007677AF">
        <w:tc>
          <w:tcPr>
            <w:tcW w:w="5508" w:type="dxa"/>
          </w:tcPr>
          <w:p w:rsidR="007677AF" w:rsidRPr="00A4660F" w:rsidRDefault="007677AF">
            <w:pPr>
              <w:rPr>
                <w:rFonts w:ascii="Arial Narrow" w:hAnsi="Arial Narrow"/>
              </w:rPr>
            </w:pPr>
            <w:r>
              <w:rPr>
                <w:rFonts w:ascii="Arial Narrow" w:hAnsi="Arial Narrow"/>
              </w:rPr>
              <w:t>Developing</w:t>
            </w:r>
          </w:p>
        </w:tc>
        <w:tc>
          <w:tcPr>
            <w:tcW w:w="5508" w:type="dxa"/>
          </w:tcPr>
          <w:p w:rsidR="007677AF" w:rsidRDefault="007677AF">
            <w:pPr>
              <w:rPr>
                <w:rFonts w:ascii="Arial Narrow" w:hAnsi="Arial Narrow"/>
              </w:rPr>
            </w:pPr>
            <w:r>
              <w:rPr>
                <w:rFonts w:ascii="Arial Narrow" w:hAnsi="Arial Narrow"/>
              </w:rPr>
              <w:t>Call to Order</w:t>
            </w:r>
          </w:p>
          <w:p w:rsidR="007677AF" w:rsidRDefault="007677AF">
            <w:pPr>
              <w:rPr>
                <w:rFonts w:ascii="Arial Narrow" w:hAnsi="Arial Narrow"/>
              </w:rPr>
            </w:pPr>
            <w:r>
              <w:rPr>
                <w:rFonts w:ascii="Arial Narrow" w:hAnsi="Arial Narrow"/>
              </w:rPr>
              <w:t>Notes</w:t>
            </w:r>
          </w:p>
          <w:p w:rsidR="007677AF" w:rsidRDefault="007677AF">
            <w:pPr>
              <w:rPr>
                <w:rFonts w:ascii="Arial Narrow" w:hAnsi="Arial Narrow"/>
              </w:rPr>
            </w:pPr>
            <w:r>
              <w:rPr>
                <w:rFonts w:ascii="Arial Narrow" w:hAnsi="Arial Narrow"/>
              </w:rPr>
              <w:t>Cartoon</w:t>
            </w:r>
          </w:p>
          <w:p w:rsidR="007677AF" w:rsidRDefault="007677AF">
            <w:pPr>
              <w:rPr>
                <w:rFonts w:ascii="Arial Narrow" w:hAnsi="Arial Narrow"/>
              </w:rPr>
            </w:pPr>
            <w:r>
              <w:rPr>
                <w:rFonts w:ascii="Arial Narrow" w:hAnsi="Arial Narrow"/>
              </w:rPr>
              <w:t>Clip #1</w:t>
            </w:r>
          </w:p>
          <w:p w:rsidR="007677AF" w:rsidRDefault="007677AF">
            <w:pPr>
              <w:rPr>
                <w:rFonts w:ascii="Arial Narrow" w:hAnsi="Arial Narrow"/>
              </w:rPr>
            </w:pPr>
            <w:r>
              <w:rPr>
                <w:rFonts w:ascii="Arial Narrow" w:hAnsi="Arial Narrow"/>
              </w:rPr>
              <w:t>Clip #2</w:t>
            </w:r>
          </w:p>
          <w:p w:rsidR="007677AF" w:rsidRPr="00A4660F" w:rsidRDefault="007677AF">
            <w:pPr>
              <w:rPr>
                <w:rFonts w:ascii="Arial Narrow" w:hAnsi="Arial Narrow"/>
              </w:rPr>
            </w:pPr>
            <w:r>
              <w:rPr>
                <w:rFonts w:ascii="Arial Narrow" w:hAnsi="Arial Narrow"/>
              </w:rPr>
              <w:t>Exit Ticket</w:t>
            </w:r>
          </w:p>
        </w:tc>
      </w:tr>
      <w:tr w:rsidR="007677AF">
        <w:tc>
          <w:tcPr>
            <w:tcW w:w="11016" w:type="dxa"/>
            <w:gridSpan w:val="2"/>
            <w:shd w:val="pct15" w:color="auto" w:fill="auto"/>
          </w:tcPr>
          <w:p w:rsidR="007677AF" w:rsidRPr="00A4660F" w:rsidRDefault="007677AF">
            <w:pPr>
              <w:rPr>
                <w:rFonts w:ascii="Arial Narrow" w:hAnsi="Arial Narrow"/>
                <w:b/>
              </w:rPr>
            </w:pPr>
            <w:r w:rsidRPr="00A4660F">
              <w:rPr>
                <w:rFonts w:ascii="Arial Narrow" w:hAnsi="Arial Narrow"/>
                <w:b/>
              </w:rPr>
              <w:t>Call to Order:</w:t>
            </w:r>
          </w:p>
        </w:tc>
      </w:tr>
      <w:tr w:rsidR="007677AF">
        <w:tc>
          <w:tcPr>
            <w:tcW w:w="11016" w:type="dxa"/>
            <w:gridSpan w:val="2"/>
          </w:tcPr>
          <w:p w:rsidR="007677AF" w:rsidRDefault="007677AF">
            <w:pPr>
              <w:rPr>
                <w:rFonts w:ascii="Arial Narrow" w:hAnsi="Arial Narrow"/>
              </w:rPr>
            </w:pPr>
            <w:r>
              <w:rPr>
                <w:rFonts w:ascii="Arial Narrow" w:hAnsi="Arial Narrow"/>
              </w:rPr>
              <w:t>Students will take out their notebooks and begin their call to order, which will be posted on the board:</w:t>
            </w:r>
          </w:p>
          <w:p w:rsidR="007677AF" w:rsidRPr="007677AF" w:rsidRDefault="007677AF">
            <w:pPr>
              <w:rPr>
                <w:rFonts w:ascii="Arial Narrow" w:hAnsi="Arial Narrow"/>
                <w:i/>
              </w:rPr>
            </w:pPr>
            <w:r>
              <w:rPr>
                <w:rFonts w:ascii="Arial Narrow" w:hAnsi="Arial Narrow"/>
                <w:i/>
              </w:rPr>
              <w:t xml:space="preserve">What is a public defender?  Why should all people accused of serious crimes be given a public defender? </w:t>
            </w:r>
          </w:p>
        </w:tc>
      </w:tr>
      <w:tr w:rsidR="007677AF">
        <w:tc>
          <w:tcPr>
            <w:tcW w:w="11016" w:type="dxa"/>
            <w:gridSpan w:val="2"/>
            <w:shd w:val="pct15" w:color="auto" w:fill="auto"/>
          </w:tcPr>
          <w:p w:rsidR="007677AF" w:rsidRPr="00A4660F" w:rsidRDefault="007677AF">
            <w:pPr>
              <w:rPr>
                <w:rFonts w:ascii="Arial Narrow" w:hAnsi="Arial Narrow"/>
                <w:b/>
              </w:rPr>
            </w:pPr>
            <w:r w:rsidRPr="00A4660F">
              <w:rPr>
                <w:rFonts w:ascii="Arial Narrow" w:hAnsi="Arial Narrow"/>
                <w:b/>
              </w:rPr>
              <w:t>Introduction of New Material:</w:t>
            </w:r>
          </w:p>
        </w:tc>
      </w:tr>
      <w:tr w:rsidR="007677AF">
        <w:tc>
          <w:tcPr>
            <w:tcW w:w="11016" w:type="dxa"/>
            <w:gridSpan w:val="2"/>
          </w:tcPr>
          <w:p w:rsidR="007677AF" w:rsidRPr="00A4660F" w:rsidRDefault="007677AF">
            <w:pPr>
              <w:rPr>
                <w:rFonts w:ascii="Arial Narrow" w:hAnsi="Arial Narrow"/>
              </w:rPr>
            </w:pPr>
            <w:r>
              <w:rPr>
                <w:rFonts w:ascii="Arial Narrow" w:hAnsi="Arial Narrow"/>
              </w:rPr>
              <w:t>Teacher will review the key points of Gideon v. Wainwright (2-3 minutes)</w:t>
            </w:r>
          </w:p>
        </w:tc>
      </w:tr>
      <w:tr w:rsidR="007677AF">
        <w:tc>
          <w:tcPr>
            <w:tcW w:w="11016" w:type="dxa"/>
            <w:gridSpan w:val="2"/>
            <w:shd w:val="pct15" w:color="auto" w:fill="auto"/>
          </w:tcPr>
          <w:p w:rsidR="007677AF" w:rsidRPr="00A4660F" w:rsidRDefault="007677AF">
            <w:pPr>
              <w:rPr>
                <w:rFonts w:ascii="Arial Narrow" w:hAnsi="Arial Narrow"/>
                <w:b/>
              </w:rPr>
            </w:pPr>
            <w:r w:rsidRPr="00A4660F">
              <w:rPr>
                <w:rFonts w:ascii="Arial Narrow" w:hAnsi="Arial Narrow"/>
                <w:b/>
              </w:rPr>
              <w:t>Guided Practice:</w:t>
            </w:r>
          </w:p>
        </w:tc>
      </w:tr>
      <w:tr w:rsidR="007677AF">
        <w:tc>
          <w:tcPr>
            <w:tcW w:w="11016" w:type="dxa"/>
            <w:gridSpan w:val="2"/>
          </w:tcPr>
          <w:p w:rsidR="007677AF" w:rsidRPr="007677AF" w:rsidRDefault="007677AF" w:rsidP="007677AF">
            <w:pPr>
              <w:tabs>
                <w:tab w:val="left" w:pos="1453"/>
              </w:tabs>
              <w:rPr>
                <w:rFonts w:ascii="Arial Narrow" w:hAnsi="Arial Narrow" w:cs="Arial"/>
                <w:b/>
                <w:szCs w:val="20"/>
              </w:rPr>
            </w:pPr>
            <w:r w:rsidRPr="007677AF">
              <w:rPr>
                <w:rFonts w:ascii="Arial Narrow" w:hAnsi="Arial Narrow" w:cs="Arial"/>
                <w:b/>
                <w:szCs w:val="20"/>
              </w:rPr>
              <w:t>Clip #2 minutes 57:19-end (supreme court case and second trial)</w:t>
            </w:r>
          </w:p>
          <w:p w:rsidR="007677AF" w:rsidRPr="007677AF" w:rsidRDefault="007677AF" w:rsidP="007677AF">
            <w:pPr>
              <w:rPr>
                <w:rFonts w:ascii="Arial Narrow" w:hAnsi="Arial Narrow" w:cs="Gautami"/>
              </w:rPr>
            </w:pPr>
            <w:r w:rsidRPr="007677AF">
              <w:rPr>
                <w:rFonts w:ascii="Arial Narrow" w:hAnsi="Arial Narrow" w:cs="Gautami"/>
              </w:rPr>
              <w:t>4. What did Gideon’s lawyer do that was different from what Gideon had done?  How did his knowledge of courtroom procedure, his investigative tactics, and his ability to question witnesses affect the outcome of the trial?</w:t>
            </w:r>
          </w:p>
          <w:p w:rsidR="007677AF" w:rsidRPr="007677AF" w:rsidRDefault="007677AF" w:rsidP="007677AF">
            <w:pPr>
              <w:rPr>
                <w:rFonts w:ascii="Arial Narrow" w:hAnsi="Arial Narrow" w:cs="Gautami"/>
              </w:rPr>
            </w:pPr>
            <w:r w:rsidRPr="007677AF">
              <w:rPr>
                <w:rFonts w:ascii="Arial Narrow" w:hAnsi="Arial Narrow" w:cs="Gautami"/>
              </w:rPr>
              <w:t>5. In the case of Gideon v. Wainwright, the Supreme Court of the United States determine that even in non-capital criminal cases, the accused is entitled to a lawyer.  Based on the clip you have seen and what you already know, do you think this was an appropriate decision?</w:t>
            </w:r>
          </w:p>
          <w:p w:rsidR="007677AF" w:rsidRPr="007677AF" w:rsidRDefault="007677AF" w:rsidP="007677AF">
            <w:pPr>
              <w:tabs>
                <w:tab w:val="left" w:pos="1453"/>
              </w:tabs>
              <w:rPr>
                <w:rFonts w:ascii="Arial Narrow" w:hAnsi="Arial Narrow" w:cs="Arial"/>
                <w:szCs w:val="20"/>
              </w:rPr>
            </w:pPr>
          </w:p>
          <w:p w:rsidR="007677AF" w:rsidRPr="007677AF" w:rsidRDefault="007677AF" w:rsidP="007677AF">
            <w:pPr>
              <w:tabs>
                <w:tab w:val="left" w:pos="1453"/>
              </w:tabs>
              <w:spacing w:after="200"/>
              <w:rPr>
                <w:rFonts w:ascii="Arial Narrow" w:hAnsi="Arial Narrow" w:cs="Arial"/>
                <w:b/>
                <w:szCs w:val="20"/>
              </w:rPr>
            </w:pPr>
            <w:r>
              <w:rPr>
                <w:rFonts w:ascii="Arial Narrow" w:hAnsi="Arial Narrow" w:cs="Arial"/>
                <w:b/>
                <w:szCs w:val="20"/>
              </w:rPr>
              <w:t>Discussion Questions:</w:t>
            </w:r>
          </w:p>
          <w:p w:rsidR="007677AF" w:rsidRDefault="007677AF" w:rsidP="007677AF">
            <w:pPr>
              <w:tabs>
                <w:tab w:val="left" w:pos="1453"/>
              </w:tabs>
              <w:spacing w:after="200"/>
              <w:rPr>
                <w:rFonts w:ascii="Arial Narrow" w:hAnsi="Arial Narrow" w:cs="Arial"/>
                <w:szCs w:val="20"/>
              </w:rPr>
            </w:pPr>
            <w:r w:rsidRPr="007677AF">
              <w:rPr>
                <w:rFonts w:ascii="Arial Narrow" w:hAnsi="Arial Narrow" w:cs="Arial"/>
                <w:szCs w:val="20"/>
              </w:rPr>
              <w:t>How did having a lawyer help Gideon?</w:t>
            </w:r>
          </w:p>
          <w:p w:rsidR="007677AF" w:rsidRPr="007677AF" w:rsidRDefault="007677AF" w:rsidP="007677AF">
            <w:pPr>
              <w:tabs>
                <w:tab w:val="left" w:pos="1453"/>
              </w:tabs>
              <w:spacing w:after="200"/>
              <w:rPr>
                <w:rFonts w:ascii="Arial Narrow" w:hAnsi="Arial Narrow" w:cs="Arial"/>
                <w:szCs w:val="20"/>
              </w:rPr>
            </w:pPr>
            <w:r w:rsidRPr="007677AF">
              <w:rPr>
                <w:rFonts w:ascii="Arial Narrow" w:hAnsi="Arial Narrow" w:cs="Arial"/>
                <w:szCs w:val="20"/>
              </w:rPr>
              <w:t>What are some of the pros and cons of being given a public defender?</w:t>
            </w:r>
          </w:p>
        </w:tc>
      </w:tr>
      <w:tr w:rsidR="007677AF" w:rsidRPr="00A4660F">
        <w:tc>
          <w:tcPr>
            <w:tcW w:w="11016" w:type="dxa"/>
            <w:gridSpan w:val="2"/>
            <w:shd w:val="pct15" w:color="auto" w:fill="auto"/>
          </w:tcPr>
          <w:p w:rsidR="007677AF" w:rsidRPr="00A4660F" w:rsidRDefault="007677AF">
            <w:pPr>
              <w:rPr>
                <w:rFonts w:ascii="Arial Narrow" w:hAnsi="Arial Narrow"/>
                <w:b/>
              </w:rPr>
            </w:pPr>
            <w:r w:rsidRPr="00A4660F">
              <w:rPr>
                <w:rFonts w:ascii="Arial Narrow" w:hAnsi="Arial Narrow"/>
                <w:b/>
              </w:rPr>
              <w:t>Independent Practice:</w:t>
            </w:r>
          </w:p>
        </w:tc>
      </w:tr>
      <w:tr w:rsidR="007677AF">
        <w:tc>
          <w:tcPr>
            <w:tcW w:w="11016" w:type="dxa"/>
            <w:gridSpan w:val="2"/>
          </w:tcPr>
          <w:p w:rsidR="007677AF" w:rsidRPr="00A4660F" w:rsidRDefault="007677AF">
            <w:pPr>
              <w:rPr>
                <w:rFonts w:ascii="Arial Narrow" w:hAnsi="Arial Narrow"/>
              </w:rPr>
            </w:pPr>
            <w:r>
              <w:rPr>
                <w:rFonts w:ascii="Arial Narrow" w:hAnsi="Arial Narrow"/>
              </w:rPr>
              <w:t>Students will check their answers with a partner and turn them in.</w:t>
            </w:r>
          </w:p>
        </w:tc>
      </w:tr>
      <w:tr w:rsidR="007677AF">
        <w:tc>
          <w:tcPr>
            <w:tcW w:w="11016" w:type="dxa"/>
            <w:gridSpan w:val="2"/>
            <w:shd w:val="pct15" w:color="auto" w:fill="auto"/>
          </w:tcPr>
          <w:p w:rsidR="007677AF" w:rsidRPr="00A4660F" w:rsidRDefault="007677AF">
            <w:pPr>
              <w:rPr>
                <w:rFonts w:ascii="Arial Narrow" w:hAnsi="Arial Narrow"/>
                <w:b/>
              </w:rPr>
            </w:pPr>
            <w:r w:rsidRPr="00A4660F">
              <w:rPr>
                <w:rFonts w:ascii="Arial Narrow" w:hAnsi="Arial Narrow"/>
                <w:b/>
              </w:rPr>
              <w:t>Closing:</w:t>
            </w:r>
          </w:p>
        </w:tc>
      </w:tr>
      <w:tr w:rsidR="007677AF">
        <w:tc>
          <w:tcPr>
            <w:tcW w:w="11016" w:type="dxa"/>
            <w:gridSpan w:val="2"/>
          </w:tcPr>
          <w:p w:rsidR="007677AF" w:rsidRPr="00A4660F" w:rsidRDefault="007677AF">
            <w:pPr>
              <w:rPr>
                <w:rFonts w:ascii="Arial Narrow" w:hAnsi="Arial Narrow"/>
              </w:rPr>
            </w:pPr>
            <w:r>
              <w:rPr>
                <w:rFonts w:ascii="Arial Narrow" w:hAnsi="Arial Narrow"/>
              </w:rPr>
              <w:t>Teacher will collect all work.</w:t>
            </w:r>
          </w:p>
        </w:tc>
      </w:tr>
      <w:tr w:rsidR="007677AF">
        <w:tc>
          <w:tcPr>
            <w:tcW w:w="11016" w:type="dxa"/>
            <w:gridSpan w:val="2"/>
            <w:shd w:val="pct15" w:color="auto" w:fill="auto"/>
          </w:tcPr>
          <w:p w:rsidR="007677AF" w:rsidRPr="00A4660F" w:rsidRDefault="007677AF">
            <w:pPr>
              <w:rPr>
                <w:rFonts w:ascii="Arial Narrow" w:hAnsi="Arial Narrow"/>
                <w:b/>
              </w:rPr>
            </w:pPr>
            <w:r w:rsidRPr="00A4660F">
              <w:rPr>
                <w:rFonts w:ascii="Arial Narrow" w:hAnsi="Arial Narrow"/>
                <w:b/>
              </w:rPr>
              <w:t>Homework:</w:t>
            </w:r>
          </w:p>
        </w:tc>
      </w:tr>
      <w:tr w:rsidR="007677AF">
        <w:tc>
          <w:tcPr>
            <w:tcW w:w="11016" w:type="dxa"/>
            <w:gridSpan w:val="2"/>
          </w:tcPr>
          <w:p w:rsidR="007677AF" w:rsidRPr="00A4660F" w:rsidRDefault="007677AF">
            <w:pPr>
              <w:rPr>
                <w:rFonts w:ascii="Arial Narrow" w:hAnsi="Arial Narrow"/>
              </w:rPr>
            </w:pPr>
            <w:r>
              <w:rPr>
                <w:rFonts w:ascii="Arial Narrow" w:hAnsi="Arial Narrow"/>
              </w:rPr>
              <w:t>None.</w:t>
            </w:r>
          </w:p>
        </w:tc>
      </w:tr>
      <w:tr w:rsidR="007677AF">
        <w:tc>
          <w:tcPr>
            <w:tcW w:w="11016" w:type="dxa"/>
            <w:gridSpan w:val="2"/>
            <w:shd w:val="pct15" w:color="auto" w:fill="auto"/>
          </w:tcPr>
          <w:p w:rsidR="007677AF" w:rsidRPr="00A4660F" w:rsidRDefault="007677AF">
            <w:pPr>
              <w:rPr>
                <w:rFonts w:ascii="Arial Narrow" w:hAnsi="Arial Narrow"/>
                <w:b/>
              </w:rPr>
            </w:pPr>
            <w:r w:rsidRPr="00A4660F">
              <w:rPr>
                <w:rFonts w:ascii="Arial Narrow" w:hAnsi="Arial Narrow"/>
                <w:b/>
              </w:rPr>
              <w:t>Accommodations:</w:t>
            </w:r>
          </w:p>
        </w:tc>
      </w:tr>
      <w:tr w:rsidR="007677AF">
        <w:tc>
          <w:tcPr>
            <w:tcW w:w="11016" w:type="dxa"/>
            <w:gridSpan w:val="2"/>
          </w:tcPr>
          <w:p w:rsidR="007677AF" w:rsidRDefault="007677AF">
            <w:pPr>
              <w:rPr>
                <w:rFonts w:ascii="Arial Narrow" w:hAnsi="Arial Narrow"/>
              </w:rPr>
            </w:pPr>
          </w:p>
        </w:tc>
      </w:tr>
    </w:tbl>
    <w:p w:rsidR="007677AF" w:rsidRDefault="007677AF"/>
    <w:p w:rsidR="007677AF" w:rsidRPr="007677AF" w:rsidRDefault="007677AF">
      <w:pPr>
        <w:rPr>
          <w:rFonts w:ascii="Arial Narrow" w:hAnsi="Arial Narrow"/>
          <w:b/>
        </w:rPr>
      </w:pPr>
      <w:r w:rsidRPr="007677AF">
        <w:rPr>
          <w:rFonts w:ascii="Arial Narrow" w:hAnsi="Arial Narrow"/>
          <w:b/>
        </w:rPr>
        <w:t>Assessment:</w:t>
      </w:r>
    </w:p>
    <w:p w:rsidR="007677AF" w:rsidRPr="007677AF" w:rsidRDefault="007677AF" w:rsidP="007677AF">
      <w:pPr>
        <w:autoSpaceDE w:val="0"/>
        <w:autoSpaceDN w:val="0"/>
        <w:adjustRightInd w:val="0"/>
        <w:rPr>
          <w:rFonts w:ascii="Arial Narrow" w:hAnsi="Arial Narrow" w:cs="Palatino-Bold"/>
          <w:bCs/>
          <w:sz w:val="22"/>
        </w:rPr>
      </w:pPr>
      <w:r w:rsidRPr="007677AF">
        <w:rPr>
          <w:rFonts w:ascii="Arial Narrow" w:hAnsi="Arial Narrow" w:cs="Palatino-Bold"/>
          <w:bCs/>
          <w:sz w:val="22"/>
        </w:rPr>
        <w:t>1. The government provides a lawyer to a person who cannot afford one if that person is</w:t>
      </w:r>
    </w:p>
    <w:p w:rsidR="007677AF" w:rsidRPr="007677AF" w:rsidRDefault="007677AF" w:rsidP="007677AF">
      <w:pPr>
        <w:autoSpaceDE w:val="0"/>
        <w:autoSpaceDN w:val="0"/>
        <w:adjustRightInd w:val="0"/>
        <w:rPr>
          <w:rFonts w:ascii="Arial Narrow" w:hAnsi="Arial Narrow" w:cs="Palatino-Bold"/>
          <w:bCs/>
          <w:sz w:val="22"/>
        </w:rPr>
      </w:pPr>
    </w:p>
    <w:p w:rsidR="007677AF" w:rsidRPr="007677AF" w:rsidRDefault="007677AF" w:rsidP="007677AF">
      <w:pPr>
        <w:autoSpaceDE w:val="0"/>
        <w:autoSpaceDN w:val="0"/>
        <w:adjustRightInd w:val="0"/>
        <w:rPr>
          <w:rFonts w:ascii="Arial Narrow" w:hAnsi="Arial Narrow" w:cs="Palatino-Roman"/>
          <w:sz w:val="22"/>
        </w:rPr>
      </w:pPr>
      <w:r w:rsidRPr="007677AF">
        <w:rPr>
          <w:rFonts w:ascii="Arial Narrow" w:hAnsi="Arial Narrow" w:cs="Palatino-Bold"/>
          <w:bCs/>
          <w:sz w:val="22"/>
        </w:rPr>
        <w:t xml:space="preserve">A. </w:t>
      </w:r>
      <w:proofErr w:type="gramStart"/>
      <w:r w:rsidRPr="007677AF">
        <w:rPr>
          <w:rFonts w:ascii="Arial Narrow" w:hAnsi="Arial Narrow" w:cs="Palatino-Roman"/>
          <w:sz w:val="22"/>
        </w:rPr>
        <w:t>preparing</w:t>
      </w:r>
      <w:proofErr w:type="gramEnd"/>
      <w:r w:rsidRPr="007677AF">
        <w:rPr>
          <w:rFonts w:ascii="Arial Narrow" w:hAnsi="Arial Narrow" w:cs="Palatino-Roman"/>
          <w:sz w:val="22"/>
        </w:rPr>
        <w:t xml:space="preserve"> a will</w:t>
      </w:r>
    </w:p>
    <w:p w:rsidR="007677AF" w:rsidRPr="007677AF" w:rsidRDefault="007677AF" w:rsidP="007677AF">
      <w:pPr>
        <w:autoSpaceDE w:val="0"/>
        <w:autoSpaceDN w:val="0"/>
        <w:adjustRightInd w:val="0"/>
        <w:rPr>
          <w:rFonts w:ascii="Arial Narrow" w:hAnsi="Arial Narrow" w:cs="Palatino-Roman"/>
          <w:sz w:val="22"/>
        </w:rPr>
      </w:pPr>
      <w:r w:rsidRPr="007677AF">
        <w:rPr>
          <w:rFonts w:ascii="Arial Narrow" w:hAnsi="Arial Narrow" w:cs="Palatino-Bold"/>
          <w:bCs/>
          <w:sz w:val="22"/>
        </w:rPr>
        <w:t xml:space="preserve">B. </w:t>
      </w:r>
      <w:proofErr w:type="gramStart"/>
      <w:r w:rsidRPr="007677AF">
        <w:rPr>
          <w:rFonts w:ascii="Arial Narrow" w:hAnsi="Arial Narrow" w:cs="Palatino-Roman"/>
          <w:sz w:val="22"/>
        </w:rPr>
        <w:t>filing</w:t>
      </w:r>
      <w:proofErr w:type="gramEnd"/>
      <w:r w:rsidRPr="007677AF">
        <w:rPr>
          <w:rFonts w:ascii="Arial Narrow" w:hAnsi="Arial Narrow" w:cs="Palatino-Roman"/>
          <w:sz w:val="22"/>
        </w:rPr>
        <w:t xml:space="preserve"> for divorce</w:t>
      </w:r>
    </w:p>
    <w:p w:rsidR="007677AF" w:rsidRPr="007677AF" w:rsidRDefault="007677AF" w:rsidP="007677AF">
      <w:pPr>
        <w:autoSpaceDE w:val="0"/>
        <w:autoSpaceDN w:val="0"/>
        <w:adjustRightInd w:val="0"/>
        <w:rPr>
          <w:rFonts w:ascii="Arial Narrow" w:hAnsi="Arial Narrow" w:cs="Palatino-Roman"/>
          <w:sz w:val="22"/>
        </w:rPr>
      </w:pPr>
      <w:r w:rsidRPr="007677AF">
        <w:rPr>
          <w:rFonts w:ascii="Arial Narrow" w:hAnsi="Arial Narrow" w:cs="Palatino-Bold"/>
          <w:bCs/>
          <w:sz w:val="22"/>
        </w:rPr>
        <w:t xml:space="preserve">C. </w:t>
      </w:r>
      <w:proofErr w:type="gramStart"/>
      <w:r w:rsidRPr="007677AF">
        <w:rPr>
          <w:rFonts w:ascii="Arial Narrow" w:hAnsi="Arial Narrow" w:cs="Palatino-Roman"/>
          <w:sz w:val="22"/>
        </w:rPr>
        <w:t>being</w:t>
      </w:r>
      <w:proofErr w:type="gramEnd"/>
      <w:r w:rsidRPr="007677AF">
        <w:rPr>
          <w:rFonts w:ascii="Arial Narrow" w:hAnsi="Arial Narrow" w:cs="Palatino-Roman"/>
          <w:sz w:val="22"/>
        </w:rPr>
        <w:t xml:space="preserve"> sued by a business partner</w:t>
      </w:r>
    </w:p>
    <w:p w:rsidR="007677AF" w:rsidRPr="007677AF" w:rsidRDefault="007677AF" w:rsidP="007677AF">
      <w:pPr>
        <w:autoSpaceDE w:val="0"/>
        <w:autoSpaceDN w:val="0"/>
        <w:adjustRightInd w:val="0"/>
        <w:rPr>
          <w:rFonts w:ascii="Arial Narrow" w:hAnsi="Arial Narrow" w:cs="Palatino-Roman"/>
          <w:sz w:val="22"/>
        </w:rPr>
      </w:pPr>
      <w:r w:rsidRPr="007677AF">
        <w:rPr>
          <w:rFonts w:ascii="Arial Narrow" w:hAnsi="Arial Narrow" w:cs="Palatino-Bold"/>
          <w:bCs/>
          <w:sz w:val="22"/>
        </w:rPr>
        <w:t xml:space="preserve">D. </w:t>
      </w:r>
      <w:proofErr w:type="gramStart"/>
      <w:r w:rsidRPr="007677AF">
        <w:rPr>
          <w:rFonts w:ascii="Arial Narrow" w:hAnsi="Arial Narrow" w:cs="Palatino-Roman"/>
          <w:sz w:val="22"/>
        </w:rPr>
        <w:t>being</w:t>
      </w:r>
      <w:proofErr w:type="gramEnd"/>
      <w:r w:rsidRPr="007677AF">
        <w:rPr>
          <w:rFonts w:ascii="Arial Narrow" w:hAnsi="Arial Narrow" w:cs="Palatino-Roman"/>
          <w:sz w:val="22"/>
        </w:rPr>
        <w:t xml:space="preserve"> charged with a serious crime</w:t>
      </w:r>
    </w:p>
    <w:p w:rsidR="007677AF" w:rsidRPr="007677AF" w:rsidRDefault="007677AF" w:rsidP="007677AF">
      <w:pPr>
        <w:autoSpaceDE w:val="0"/>
        <w:autoSpaceDN w:val="0"/>
        <w:adjustRightInd w:val="0"/>
        <w:rPr>
          <w:rFonts w:ascii="Arial Narrow" w:hAnsi="Arial Narrow" w:cs="Palatino-Roman"/>
          <w:sz w:val="22"/>
        </w:rPr>
      </w:pPr>
    </w:p>
    <w:p w:rsidR="007677AF" w:rsidRPr="007677AF" w:rsidRDefault="007677AF" w:rsidP="007677AF">
      <w:pPr>
        <w:autoSpaceDE w:val="0"/>
        <w:autoSpaceDN w:val="0"/>
        <w:adjustRightInd w:val="0"/>
        <w:rPr>
          <w:rFonts w:ascii="Arial Narrow" w:hAnsi="Arial Narrow" w:cs="Palatino-Bold"/>
          <w:bCs/>
          <w:sz w:val="22"/>
        </w:rPr>
      </w:pPr>
      <w:r w:rsidRPr="007677AF">
        <w:rPr>
          <w:rFonts w:ascii="Arial Narrow" w:hAnsi="Arial Narrow" w:cs="Palatino-Bold"/>
          <w:bCs/>
          <w:sz w:val="22"/>
        </w:rPr>
        <w:t xml:space="preserve">2. In </w:t>
      </w:r>
      <w:r w:rsidRPr="007677AF">
        <w:rPr>
          <w:rFonts w:ascii="Arial Narrow" w:hAnsi="Arial Narrow" w:cs="Palatino-BoldItalic"/>
          <w:bCs/>
          <w:i/>
          <w:iCs/>
          <w:sz w:val="22"/>
        </w:rPr>
        <w:t xml:space="preserve">Gideon v. Wainwright </w:t>
      </w:r>
      <w:r w:rsidRPr="007677AF">
        <w:rPr>
          <w:rFonts w:ascii="Arial Narrow" w:hAnsi="Arial Narrow" w:cs="Palatino-Bold"/>
          <w:bCs/>
          <w:sz w:val="22"/>
        </w:rPr>
        <w:t>(1963), the Supreme Court ruled that the accused person’s right to due process of law had been violated because he was</w:t>
      </w:r>
    </w:p>
    <w:p w:rsidR="007677AF" w:rsidRPr="007677AF" w:rsidRDefault="007677AF" w:rsidP="007677AF">
      <w:pPr>
        <w:autoSpaceDE w:val="0"/>
        <w:autoSpaceDN w:val="0"/>
        <w:adjustRightInd w:val="0"/>
        <w:rPr>
          <w:rFonts w:ascii="Arial Narrow" w:hAnsi="Arial Narrow" w:cs="Palatino-Bold"/>
          <w:bCs/>
          <w:sz w:val="22"/>
        </w:rPr>
      </w:pPr>
    </w:p>
    <w:p w:rsidR="007677AF" w:rsidRPr="007677AF" w:rsidRDefault="007677AF" w:rsidP="007677AF">
      <w:pPr>
        <w:autoSpaceDE w:val="0"/>
        <w:autoSpaceDN w:val="0"/>
        <w:adjustRightInd w:val="0"/>
        <w:rPr>
          <w:rFonts w:ascii="Arial Narrow" w:hAnsi="Arial Narrow" w:cs="Palatino-Roman"/>
          <w:sz w:val="22"/>
        </w:rPr>
      </w:pPr>
      <w:r w:rsidRPr="007677AF">
        <w:rPr>
          <w:rFonts w:ascii="Arial Narrow" w:hAnsi="Arial Narrow" w:cs="Palatino-Bold"/>
          <w:bCs/>
          <w:sz w:val="22"/>
        </w:rPr>
        <w:t xml:space="preserve">A. </w:t>
      </w:r>
      <w:proofErr w:type="gramStart"/>
      <w:r w:rsidRPr="007677AF">
        <w:rPr>
          <w:rFonts w:ascii="Arial Narrow" w:hAnsi="Arial Narrow" w:cs="Palatino-Roman"/>
          <w:sz w:val="22"/>
        </w:rPr>
        <w:t>convicted</w:t>
      </w:r>
      <w:proofErr w:type="gramEnd"/>
      <w:r w:rsidRPr="007677AF">
        <w:rPr>
          <w:rFonts w:ascii="Arial Narrow" w:hAnsi="Arial Narrow" w:cs="Palatino-Roman"/>
          <w:sz w:val="22"/>
        </w:rPr>
        <w:t xml:space="preserve"> with illegally obtained evidence</w:t>
      </w:r>
    </w:p>
    <w:p w:rsidR="007677AF" w:rsidRPr="007677AF" w:rsidRDefault="007677AF" w:rsidP="007677AF">
      <w:pPr>
        <w:autoSpaceDE w:val="0"/>
        <w:autoSpaceDN w:val="0"/>
        <w:adjustRightInd w:val="0"/>
        <w:rPr>
          <w:rFonts w:ascii="Arial Narrow" w:hAnsi="Arial Narrow" w:cs="Palatino-Roman"/>
          <w:sz w:val="22"/>
        </w:rPr>
      </w:pPr>
      <w:r w:rsidRPr="007677AF">
        <w:rPr>
          <w:rFonts w:ascii="Arial Narrow" w:hAnsi="Arial Narrow" w:cs="Palatino-Bold"/>
          <w:bCs/>
          <w:sz w:val="22"/>
        </w:rPr>
        <w:t xml:space="preserve">B. </w:t>
      </w:r>
      <w:proofErr w:type="gramStart"/>
      <w:r w:rsidRPr="007677AF">
        <w:rPr>
          <w:rFonts w:ascii="Arial Narrow" w:hAnsi="Arial Narrow" w:cs="Palatino-Roman"/>
          <w:sz w:val="22"/>
        </w:rPr>
        <w:t>arrested</w:t>
      </w:r>
      <w:proofErr w:type="gramEnd"/>
      <w:r w:rsidRPr="007677AF">
        <w:rPr>
          <w:rFonts w:ascii="Arial Narrow" w:hAnsi="Arial Narrow" w:cs="Palatino-Roman"/>
          <w:sz w:val="22"/>
        </w:rPr>
        <w:t xml:space="preserve"> without being informed of his legal rights</w:t>
      </w:r>
    </w:p>
    <w:p w:rsidR="007677AF" w:rsidRPr="007677AF" w:rsidRDefault="007677AF" w:rsidP="007677AF">
      <w:pPr>
        <w:autoSpaceDE w:val="0"/>
        <w:autoSpaceDN w:val="0"/>
        <w:adjustRightInd w:val="0"/>
        <w:rPr>
          <w:rFonts w:ascii="Arial Narrow" w:hAnsi="Arial Narrow" w:cs="Palatino-Roman"/>
          <w:sz w:val="22"/>
        </w:rPr>
      </w:pPr>
      <w:r w:rsidRPr="007677AF">
        <w:rPr>
          <w:rFonts w:ascii="Arial Narrow" w:hAnsi="Arial Narrow" w:cs="Palatino-Bold"/>
          <w:bCs/>
          <w:sz w:val="22"/>
        </w:rPr>
        <w:t xml:space="preserve">C. </w:t>
      </w:r>
      <w:proofErr w:type="gramStart"/>
      <w:r w:rsidRPr="007677AF">
        <w:rPr>
          <w:rFonts w:ascii="Arial Narrow" w:hAnsi="Arial Narrow" w:cs="Palatino-Roman"/>
          <w:sz w:val="22"/>
        </w:rPr>
        <w:t>denied</w:t>
      </w:r>
      <w:proofErr w:type="gramEnd"/>
      <w:r w:rsidRPr="007677AF">
        <w:rPr>
          <w:rFonts w:ascii="Arial Narrow" w:hAnsi="Arial Narrow" w:cs="Palatino-Roman"/>
          <w:sz w:val="22"/>
        </w:rPr>
        <w:t xml:space="preserve"> a court-appointed attorney to represent him</w:t>
      </w:r>
    </w:p>
    <w:p w:rsidR="007677AF" w:rsidRPr="007677AF" w:rsidRDefault="007677AF" w:rsidP="007677AF">
      <w:pPr>
        <w:autoSpaceDE w:val="0"/>
        <w:autoSpaceDN w:val="0"/>
        <w:adjustRightInd w:val="0"/>
        <w:rPr>
          <w:rFonts w:ascii="Arial Narrow" w:hAnsi="Arial Narrow" w:cs="Palatino-Roman"/>
          <w:sz w:val="22"/>
        </w:rPr>
      </w:pPr>
      <w:r w:rsidRPr="007677AF">
        <w:rPr>
          <w:rFonts w:ascii="Arial Narrow" w:hAnsi="Arial Narrow" w:cs="Palatino-Bold"/>
          <w:bCs/>
          <w:sz w:val="22"/>
        </w:rPr>
        <w:t xml:space="preserve">D. </w:t>
      </w:r>
      <w:proofErr w:type="gramStart"/>
      <w:r w:rsidRPr="007677AF">
        <w:rPr>
          <w:rFonts w:ascii="Arial Narrow" w:hAnsi="Arial Narrow" w:cs="Palatino-Roman"/>
          <w:sz w:val="22"/>
        </w:rPr>
        <w:t>jailed</w:t>
      </w:r>
      <w:proofErr w:type="gramEnd"/>
      <w:r w:rsidRPr="007677AF">
        <w:rPr>
          <w:rFonts w:ascii="Arial Narrow" w:hAnsi="Arial Narrow" w:cs="Palatino-Roman"/>
          <w:sz w:val="22"/>
        </w:rPr>
        <w:t xml:space="preserve"> for several weeks before being charged with a crime</w:t>
      </w:r>
    </w:p>
    <w:p w:rsidR="007677AF" w:rsidRPr="007677AF" w:rsidRDefault="007677AF" w:rsidP="007677AF">
      <w:pPr>
        <w:rPr>
          <w:rFonts w:ascii="Arial Narrow" w:hAnsi="Arial Narrow"/>
          <w:b/>
          <w:sz w:val="22"/>
        </w:rPr>
      </w:pPr>
    </w:p>
    <w:p w:rsidR="007677AF" w:rsidRPr="007677AF" w:rsidRDefault="007677AF" w:rsidP="007677AF">
      <w:pPr>
        <w:autoSpaceDE w:val="0"/>
        <w:autoSpaceDN w:val="0"/>
        <w:adjustRightInd w:val="0"/>
        <w:rPr>
          <w:rFonts w:ascii="Arial Narrow" w:hAnsi="Arial Narrow" w:cs="Palatino"/>
          <w:iCs/>
          <w:color w:val="000000"/>
          <w:sz w:val="22"/>
        </w:rPr>
      </w:pPr>
      <w:r w:rsidRPr="007677AF">
        <w:rPr>
          <w:rFonts w:ascii="Arial Narrow" w:hAnsi="Arial Narrow" w:cs="Palatino"/>
          <w:iCs/>
          <w:color w:val="000000"/>
          <w:sz w:val="22"/>
        </w:rPr>
        <w:t>3. The Sixth Amendment allows the accused the “assistance of counsel.”  Which of these Supreme Court decisions extended the protections of this amendment?</w:t>
      </w:r>
    </w:p>
    <w:p w:rsidR="007677AF" w:rsidRPr="007677AF" w:rsidRDefault="007677AF" w:rsidP="007677AF">
      <w:pPr>
        <w:autoSpaceDE w:val="0"/>
        <w:autoSpaceDN w:val="0"/>
        <w:adjustRightInd w:val="0"/>
        <w:rPr>
          <w:rFonts w:ascii="Arial Narrow" w:hAnsi="Arial Narrow" w:cs="Palatino"/>
          <w:iCs/>
          <w:color w:val="000000"/>
          <w:sz w:val="22"/>
        </w:rPr>
      </w:pPr>
    </w:p>
    <w:p w:rsidR="007677AF" w:rsidRPr="007677AF" w:rsidRDefault="007677AF" w:rsidP="007677AF">
      <w:pPr>
        <w:autoSpaceDE w:val="0"/>
        <w:autoSpaceDN w:val="0"/>
        <w:adjustRightInd w:val="0"/>
        <w:rPr>
          <w:rFonts w:ascii="Arial Narrow" w:hAnsi="Arial Narrow" w:cs="Palatino"/>
          <w:iCs/>
          <w:color w:val="000000"/>
          <w:sz w:val="22"/>
        </w:rPr>
      </w:pPr>
      <w:r w:rsidRPr="007677AF">
        <w:rPr>
          <w:rFonts w:ascii="Arial Narrow" w:hAnsi="Arial Narrow" w:cs="Palatino"/>
          <w:iCs/>
          <w:color w:val="000000"/>
          <w:sz w:val="22"/>
        </w:rPr>
        <w:t xml:space="preserve">A. </w:t>
      </w:r>
      <w:proofErr w:type="spellStart"/>
      <w:r w:rsidRPr="007677AF">
        <w:rPr>
          <w:rFonts w:ascii="Arial Narrow" w:hAnsi="Arial Narrow" w:cs="Palatino"/>
          <w:i/>
          <w:iCs/>
          <w:color w:val="000000"/>
          <w:sz w:val="22"/>
        </w:rPr>
        <w:t>Marbury</w:t>
      </w:r>
      <w:proofErr w:type="spellEnd"/>
      <w:r w:rsidRPr="007677AF">
        <w:rPr>
          <w:rFonts w:ascii="Arial Narrow" w:hAnsi="Arial Narrow" w:cs="Palatino"/>
          <w:i/>
          <w:iCs/>
          <w:color w:val="000000"/>
          <w:sz w:val="22"/>
        </w:rPr>
        <w:t xml:space="preserve"> v. Madison</w:t>
      </w:r>
    </w:p>
    <w:p w:rsidR="007677AF" w:rsidRPr="007677AF" w:rsidRDefault="007677AF" w:rsidP="007677AF">
      <w:pPr>
        <w:autoSpaceDE w:val="0"/>
        <w:autoSpaceDN w:val="0"/>
        <w:adjustRightInd w:val="0"/>
        <w:rPr>
          <w:rFonts w:ascii="Arial Narrow" w:hAnsi="Arial Narrow" w:cs="Palatino"/>
          <w:iCs/>
          <w:color w:val="000000"/>
          <w:sz w:val="22"/>
        </w:rPr>
      </w:pPr>
      <w:r w:rsidRPr="007677AF">
        <w:rPr>
          <w:rFonts w:ascii="Arial Narrow" w:hAnsi="Arial Narrow" w:cs="Palatino"/>
          <w:iCs/>
          <w:color w:val="000000"/>
          <w:sz w:val="22"/>
        </w:rPr>
        <w:t xml:space="preserve">B. </w:t>
      </w:r>
      <w:proofErr w:type="spellStart"/>
      <w:r w:rsidRPr="007677AF">
        <w:rPr>
          <w:rFonts w:ascii="Arial Narrow" w:hAnsi="Arial Narrow" w:cs="Palatino"/>
          <w:i/>
          <w:iCs/>
          <w:color w:val="000000"/>
          <w:sz w:val="22"/>
        </w:rPr>
        <w:t>Plessy</w:t>
      </w:r>
      <w:proofErr w:type="spellEnd"/>
      <w:r w:rsidRPr="007677AF">
        <w:rPr>
          <w:rFonts w:ascii="Arial Narrow" w:hAnsi="Arial Narrow" w:cs="Palatino"/>
          <w:i/>
          <w:iCs/>
          <w:color w:val="000000"/>
          <w:sz w:val="22"/>
        </w:rPr>
        <w:t xml:space="preserve"> v. Ferguson</w:t>
      </w:r>
    </w:p>
    <w:p w:rsidR="007677AF" w:rsidRPr="007677AF" w:rsidRDefault="007677AF" w:rsidP="007677AF">
      <w:pPr>
        <w:autoSpaceDE w:val="0"/>
        <w:autoSpaceDN w:val="0"/>
        <w:adjustRightInd w:val="0"/>
        <w:rPr>
          <w:rFonts w:ascii="Arial Narrow" w:hAnsi="Arial Narrow" w:cs="Palatino"/>
          <w:iCs/>
          <w:color w:val="000000"/>
          <w:sz w:val="22"/>
        </w:rPr>
      </w:pPr>
      <w:r w:rsidRPr="007677AF">
        <w:rPr>
          <w:rFonts w:ascii="Arial Narrow" w:hAnsi="Arial Narrow" w:cs="Palatino"/>
          <w:iCs/>
          <w:color w:val="000000"/>
          <w:sz w:val="22"/>
        </w:rPr>
        <w:t xml:space="preserve">C. </w:t>
      </w:r>
      <w:r w:rsidRPr="007677AF">
        <w:rPr>
          <w:rFonts w:ascii="Arial Narrow" w:hAnsi="Arial Narrow" w:cs="Palatino"/>
          <w:i/>
          <w:iCs/>
          <w:color w:val="000000"/>
          <w:sz w:val="22"/>
        </w:rPr>
        <w:t>Gideon v. Wainwright</w:t>
      </w:r>
    </w:p>
    <w:p w:rsidR="007677AF" w:rsidRPr="007677AF" w:rsidRDefault="007677AF" w:rsidP="007677AF">
      <w:pPr>
        <w:autoSpaceDE w:val="0"/>
        <w:autoSpaceDN w:val="0"/>
        <w:adjustRightInd w:val="0"/>
        <w:rPr>
          <w:rFonts w:ascii="Arial Narrow" w:hAnsi="Arial Narrow" w:cs="Palatino"/>
          <w:i/>
          <w:iCs/>
          <w:color w:val="000000"/>
          <w:sz w:val="22"/>
        </w:rPr>
      </w:pPr>
      <w:r w:rsidRPr="007677AF">
        <w:rPr>
          <w:rFonts w:ascii="Arial Narrow" w:hAnsi="Arial Narrow" w:cs="Palatino"/>
          <w:iCs/>
          <w:color w:val="000000"/>
          <w:sz w:val="22"/>
        </w:rPr>
        <w:t xml:space="preserve">D. </w:t>
      </w:r>
      <w:r w:rsidRPr="007677AF">
        <w:rPr>
          <w:rFonts w:ascii="Arial Narrow" w:hAnsi="Arial Narrow" w:cs="Palatino"/>
          <w:i/>
          <w:iCs/>
          <w:color w:val="000000"/>
          <w:sz w:val="22"/>
        </w:rPr>
        <w:t>Tinker v. Des Moines School Board</w:t>
      </w:r>
    </w:p>
    <w:p w:rsidR="007677AF" w:rsidRPr="007677AF" w:rsidRDefault="007677AF">
      <w:pPr>
        <w:rPr>
          <w:b/>
        </w:rPr>
      </w:pPr>
    </w:p>
    <w:sectPr w:rsidR="007677AF" w:rsidRPr="007677AF" w:rsidSect="00A4660F">
      <w:pgSz w:w="12240" w:h="15840"/>
      <w:pgMar w:top="720" w:right="720" w:bottom="864"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Webdings">
    <w:panose1 w:val="05030102010509060703"/>
    <w:charset w:val="02"/>
    <w:family w:val="auto"/>
    <w:pitch w:val="variable"/>
    <w:sig w:usb0="00000000" w:usb1="00000000" w:usb2="00010000" w:usb3="00000000" w:csb0="80000000" w:csb1="00000000"/>
  </w:font>
  <w:font w:name="Kai">
    <w:panose1 w:val="02000500000000000000"/>
    <w:charset w:val="50"/>
    <w:family w:val="auto"/>
    <w:pitch w:val="variable"/>
    <w:sig w:usb0="00000001" w:usb1="00000000" w:usb2="0100040E" w:usb3="00000000" w:csb0="0004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Gautami">
    <w:charset w:val="00"/>
    <w:family w:val="auto"/>
    <w:pitch w:val="variable"/>
    <w:sig w:usb0="00200003" w:usb1="00000000" w:usb2="00000000" w:usb3="00000000" w:csb0="00000001" w:csb1="00000000"/>
  </w:font>
  <w:font w:name="Palatino-Bold">
    <w:altName w:val="Palatino"/>
    <w:panose1 w:val="00000000000000000000"/>
    <w:charset w:val="4D"/>
    <w:family w:val="roman"/>
    <w:notTrueType/>
    <w:pitch w:val="default"/>
    <w:sig w:usb0="00000003" w:usb1="00000000" w:usb2="00000000" w:usb3="00000000" w:csb0="00000001" w:csb1="00000000"/>
  </w:font>
  <w:font w:name="Palatino-Roman">
    <w:altName w:val="Palatino"/>
    <w:panose1 w:val="00000000000000000000"/>
    <w:charset w:val="00"/>
    <w:family w:val="roman"/>
    <w:notTrueType/>
    <w:pitch w:val="default"/>
    <w:sig w:usb0="00000003" w:usb1="00000000" w:usb2="00000000" w:usb3="00000000" w:csb0="00000001" w:csb1="00000000"/>
  </w:font>
  <w:font w:name="Palatino-BoldItalic">
    <w:altName w:val="Palatino"/>
    <w:panose1 w:val="00000000000000000000"/>
    <w:charset w:val="00"/>
    <w:family w:val="roman"/>
    <w:notTrueType/>
    <w:pitch w:val="default"/>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30371"/>
    <w:multiLevelType w:val="hybridMultilevel"/>
    <w:tmpl w:val="1EEA7894"/>
    <w:lvl w:ilvl="0" w:tplc="07769306">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B424CC"/>
    <w:multiLevelType w:val="hybridMultilevel"/>
    <w:tmpl w:val="B91A9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FA511D3"/>
    <w:multiLevelType w:val="hybridMultilevel"/>
    <w:tmpl w:val="FAB469AE"/>
    <w:lvl w:ilvl="0" w:tplc="BC50CE04">
      <w:start w:val="1"/>
      <w:numFmt w:val="bullet"/>
      <w:lvlText w:val=""/>
      <w:lvlJc w:val="left"/>
      <w:pPr>
        <w:ind w:left="504" w:hanging="216"/>
      </w:pPr>
      <w:rPr>
        <w:rFonts w:ascii="Webdings" w:eastAsia="Kai"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33C3BB6"/>
    <w:multiLevelType w:val="hybridMultilevel"/>
    <w:tmpl w:val="FAB469AE"/>
    <w:lvl w:ilvl="0" w:tplc="BC50CE04">
      <w:start w:val="1"/>
      <w:numFmt w:val="bullet"/>
      <w:lvlText w:val=""/>
      <w:lvlJc w:val="left"/>
      <w:pPr>
        <w:ind w:left="504" w:hanging="216"/>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4660F"/>
    <w:rsid w:val="00005A6B"/>
    <w:rsid w:val="00313A73"/>
    <w:rsid w:val="004F5F20"/>
    <w:rsid w:val="007677AF"/>
    <w:rsid w:val="00A4660F"/>
    <w:rsid w:val="00AD6AAD"/>
  </w:rsids>
  <m:mathPr>
    <m:mathFont m:val="?Îv?"/>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667"/>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A4660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677AF"/>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670</Words>
  <Characters>3821</Characters>
  <Application>Microsoft Macintosh Word</Application>
  <DocSecurity>0</DocSecurity>
  <Lines>31</Lines>
  <Paragraphs>7</Paragraphs>
  <ScaleCrop>false</ScaleCrop>
  <LinksUpToDate>false</LinksUpToDate>
  <CharactersWithSpaces>4692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2</cp:revision>
  <dcterms:created xsi:type="dcterms:W3CDTF">2011-11-20T16:59:00Z</dcterms:created>
  <dcterms:modified xsi:type="dcterms:W3CDTF">2011-11-20T16:59:00Z</dcterms:modified>
</cp:coreProperties>
</file>